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lavori pubblici sotto i 100.000 euro.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